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73D86"/>
          <w:sz w:val="26"/>
        </w:rPr>
        <w:t>BUDDYBBX</w:t>
      </w:r>
    </w:p>
    <w:p>
      <w:pPr>
        <w:pStyle w:val="Title"/>
        <w:jc w:val="center"/>
      </w:pPr>
      <w:r>
        <w:t>Merchant Points IFC Training Playbook</w:t>
      </w:r>
    </w:p>
    <w:p>
      <w:pPr>
        <w:jc w:val="center"/>
      </w:pPr>
      <w:r>
        <w:rPr>
          <w:b/>
        </w:rPr>
        <w:t>For Independent Franchise Consultants</w:t>
      </w:r>
    </w:p>
    <w:p>
      <w:pPr>
        <w:jc w:val="center"/>
      </w:pPr>
      <w:r>
        <w:rPr>
          <w:color w:val="64748B"/>
        </w:rPr>
        <w:t>Version 2.0  |  21 September 2026</w:t>
      </w:r>
    </w:p>
    <w:p>
      <w:r>
        <w:t>This trainer-level guide helps IFCs explain MP, qualify merchants, demonstrate approved workflows and guide category and offer onboarding. IFCs must understand the controls more deeply than the merchants they introduce.</w:t>
      </w:r>
    </w:p>
    <w:p>
      <w:r>
        <w:rPr>
          <w:b/>
        </w:rPr>
        <w:t>Current operating status</w:t>
      </w:r>
    </w:p>
    <w:p>
      <w:r>
        <w:t>Real MP movement is locked. Counter payments, online checkout, settlement, automatic release, starting allocations and manual credit or debit remain unavailable until the Phase 8 security gate, two-merchant UAT and explicit BManagement approval are completed. Training and controlled review may continue, but nobody should represent MP as live for real balances.</w:t>
      </w:r>
    </w:p>
    <w:p>
      <w:pPr>
        <w:pStyle w:val="Heading1"/>
      </w:pPr>
      <w:r>
        <w:t>The IFC role</w:t>
      </w:r>
    </w:p>
    <w:p>
      <w:r>
        <w:t>An IFC introduces the merchant exchange accurately, helps a merchant identify practical products or services and supports onboarding. An IFC does not approve payments, categories, offers, disputes or wallet movements and must not promise cash returns, guaranteed sales or investment gains.</w:t>
      </w:r>
    </w:p>
    <w:p>
      <w:pPr>
        <w:pStyle w:val="Heading1"/>
      </w:pPr>
      <w:r>
        <w:t>One minute explanation</w:t>
      </w:r>
    </w:p>
    <w:p>
      <w:r>
        <w:t>MP means BuddyBBX Merchant Points. It is a closed-loop exchange mechanism for approved BBX merchants. At a counter, a future live transfer uses a one-time QR and completes only after the buyer verifies and confirms it. Online, the buyer value is held and the seller value is pending until receipt or an eligible 48-hour release. Real MP is presently locked while security testing and controlled UAT are completed.</w:t>
      </w:r>
    </w:p>
    <w:p>
      <w:pPr>
        <w:pStyle w:val="Heading1"/>
      </w:pPr>
      <w:r>
        <w:t>What MP means</w:t>
      </w:r>
    </w:p>
    <w:p>
      <w:r>
        <w:t>MP means BuddyBBX Merchant Points. MP is a closed-loop merchant exchange mechanism for approved participating merchants. MP is not cash, a bank deposit, an investment, a guaranteed return or a withdrawable balance.</w:t>
      </w:r>
    </w:p>
    <w:p>
      <w:pPr>
        <w:pStyle w:val="Heading1"/>
      </w:pPr>
      <w:r>
        <w:t>The four wallet balances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656"/>
            <w:shd w:fill="273D86"/>
            <w:vAlign w:val="center"/>
            <w:tcMar>
              <w:top w:w="100" w:type="dxa"/>
              <w:start w:w="110" w:type="dxa"/>
              <w:bottom w:w="100" w:type="dxa"/>
              <w:end w:w="110" w:type="dxa"/>
            </w:tcMar>
          </w:tcPr>
          <w:p>
            <w:pPr>
              <w:jc w:val="center"/>
            </w:pPr>
            <w:r>
              <w:rPr>
                <w:b/>
                <w:color w:val="FFFFFF"/>
                <w:sz w:val="18"/>
              </w:rPr>
              <w:t>Balance</w:t>
            </w:r>
          </w:p>
        </w:tc>
        <w:tc>
          <w:tcPr>
            <w:tcW w:type="dxa" w:w="6120"/>
            <w:shd w:fill="273D86"/>
            <w:vAlign w:val="center"/>
            <w:tcMar>
              <w:top w:w="100" w:type="dxa"/>
              <w:start w:w="110" w:type="dxa"/>
              <w:bottom w:w="100" w:type="dxa"/>
              <w:end w:w="110" w:type="dxa"/>
            </w:tcMar>
          </w:tcPr>
          <w:p>
            <w:pPr>
              <w:jc w:val="center"/>
            </w:pPr>
            <w:r>
              <w:rPr>
                <w:b/>
                <w:color w:val="FFFFFF"/>
                <w:sz w:val="18"/>
              </w:rPr>
              <w:t>Meaning</w:t>
            </w:r>
          </w:p>
        </w:tc>
        <w:tc>
          <w:tcPr>
            <w:tcW w:type="dxa" w:w="1584"/>
            <w:shd w:fill="273D86"/>
            <w:vAlign w:val="center"/>
            <w:tcMar>
              <w:top w:w="100" w:type="dxa"/>
              <w:start w:w="110" w:type="dxa"/>
              <w:bottom w:w="100" w:type="dxa"/>
              <w:end w:w="110" w:type="dxa"/>
            </w:tcMar>
          </w:tcPr>
          <w:p>
            <w:pPr>
              <w:jc w:val="center"/>
            </w:pPr>
            <w:r>
              <w:rPr>
                <w:b/>
                <w:color w:val="FFFFFF"/>
                <w:sz w:val="18"/>
              </w:rPr>
              <w:t>Spendable</w:t>
            </w:r>
          </w:p>
        </w:tc>
      </w:tr>
      <w:tr>
        <w:tc>
          <w:tcPr>
            <w:tcW w:type="dxa" w:w="1656"/>
            <w:tcMar>
              <w:top w:w="100" w:type="dxa"/>
              <w:start w:w="110" w:type="dxa"/>
              <w:bottom w:w="100" w:type="dxa"/>
              <w:end w:w="110" w:type="dxa"/>
            </w:tcMar>
            <w:vAlign w:val="center"/>
          </w:tcPr>
          <w:p>
            <w:pPr>
              <w:jc w:val="center"/>
            </w:pPr>
            <w:r>
              <w:rPr>
                <w:sz w:val="18"/>
              </w:rPr>
              <w:t>Available MP</w:t>
            </w:r>
          </w:p>
        </w:tc>
        <w:tc>
          <w:tcPr>
            <w:tcW w:type="dxa" w:w="6120"/>
            <w:tcMar>
              <w:top w:w="100" w:type="dxa"/>
              <w:start w:w="110" w:type="dxa"/>
              <w:bottom w:w="100" w:type="dxa"/>
              <w:end w:w="110" w:type="dxa"/>
            </w:tcMar>
            <w:vAlign w:val="center"/>
          </w:tcPr>
          <w:p>
            <w:pPr>
              <w:jc w:val="left"/>
            </w:pPr>
            <w:r>
              <w:rPr>
                <w:sz w:val="18"/>
              </w:rPr>
              <w:t>Cleared MP available for an authorised purchase.</w:t>
            </w:r>
          </w:p>
        </w:tc>
        <w:tc>
          <w:tcPr>
            <w:tcW w:type="dxa" w:w="1584"/>
            <w:tcMar>
              <w:top w:w="100" w:type="dxa"/>
              <w:start w:w="110" w:type="dxa"/>
              <w:bottom w:w="100" w:type="dxa"/>
              <w:end w:w="110" w:type="dxa"/>
            </w:tcMar>
            <w:vAlign w:val="center"/>
          </w:tcPr>
          <w:p>
            <w:pPr>
              <w:jc w:val="left"/>
            </w:pPr>
            <w:r>
              <w:rPr>
                <w:sz w:val="18"/>
              </w:rPr>
              <w:t>Yes</w:t>
            </w:r>
          </w:p>
        </w:tc>
      </w:tr>
      <w:tr>
        <w:tc>
          <w:tcPr>
            <w:tcW w:type="dxa" w:w="1656"/>
            <w:shd w:fill="F4F7FB"/>
            <w:tcMar>
              <w:top w:w="100" w:type="dxa"/>
              <w:start w:w="110" w:type="dxa"/>
              <w:bottom w:w="100" w:type="dxa"/>
              <w:end w:w="110" w:type="dxa"/>
            </w:tcMar>
            <w:vAlign w:val="center"/>
          </w:tcPr>
          <w:p>
            <w:pPr>
              <w:jc w:val="center"/>
            </w:pPr>
            <w:r>
              <w:rPr>
                <w:sz w:val="18"/>
              </w:rPr>
              <w:t>MP on Hold</w:t>
            </w:r>
          </w:p>
        </w:tc>
        <w:tc>
          <w:tcPr>
            <w:tcW w:type="dxa" w:w="6120"/>
            <w:shd w:fill="F4F7FB"/>
            <w:tcMar>
              <w:top w:w="100" w:type="dxa"/>
              <w:start w:w="110" w:type="dxa"/>
              <w:bottom w:w="100" w:type="dxa"/>
              <w:end w:w="110" w:type="dxa"/>
            </w:tcMar>
            <w:vAlign w:val="center"/>
          </w:tcPr>
          <w:p>
            <w:pPr>
              <w:jc w:val="left"/>
            </w:pPr>
            <w:r>
              <w:rPr>
                <w:sz w:val="18"/>
              </w:rPr>
              <w:t>Buyer MP reserved for an online order.</w:t>
            </w:r>
          </w:p>
        </w:tc>
        <w:tc>
          <w:tcPr>
            <w:tcW w:type="dxa" w:w="1584"/>
            <w:shd w:fill="F4F7FB"/>
            <w:tcMar>
              <w:top w:w="100" w:type="dxa"/>
              <w:start w:w="110" w:type="dxa"/>
              <w:bottom w:w="100" w:type="dxa"/>
              <w:end w:w="110" w:type="dxa"/>
            </w:tcMar>
            <w:vAlign w:val="center"/>
          </w:tcPr>
          <w:p>
            <w:pPr>
              <w:jc w:val="left"/>
            </w:pPr>
            <w:r>
              <w:rPr>
                <w:sz w:val="18"/>
              </w:rPr>
              <w:t>No</w:t>
            </w:r>
          </w:p>
        </w:tc>
      </w:tr>
      <w:tr>
        <w:tc>
          <w:tcPr>
            <w:tcW w:type="dxa" w:w="1656"/>
            <w:tcMar>
              <w:top w:w="100" w:type="dxa"/>
              <w:start w:w="110" w:type="dxa"/>
              <w:bottom w:w="100" w:type="dxa"/>
              <w:end w:w="110" w:type="dxa"/>
            </w:tcMar>
            <w:vAlign w:val="center"/>
          </w:tcPr>
          <w:p>
            <w:pPr>
              <w:jc w:val="center"/>
            </w:pPr>
            <w:r>
              <w:rPr>
                <w:sz w:val="18"/>
              </w:rPr>
              <w:t>Pending MP</w:t>
            </w:r>
          </w:p>
        </w:tc>
        <w:tc>
          <w:tcPr>
            <w:tcW w:type="dxa" w:w="6120"/>
            <w:tcMar>
              <w:top w:w="100" w:type="dxa"/>
              <w:start w:w="110" w:type="dxa"/>
              <w:bottom w:w="100" w:type="dxa"/>
              <w:end w:w="110" w:type="dxa"/>
            </w:tcMar>
            <w:vAlign w:val="center"/>
          </w:tcPr>
          <w:p>
            <w:pPr>
              <w:jc w:val="left"/>
            </w:pPr>
            <w:r>
              <w:rPr>
                <w:sz w:val="18"/>
              </w:rPr>
              <w:t>Seller MP awaiting completion or release.</w:t>
            </w:r>
          </w:p>
        </w:tc>
        <w:tc>
          <w:tcPr>
            <w:tcW w:type="dxa" w:w="1584"/>
            <w:tcMar>
              <w:top w:w="100" w:type="dxa"/>
              <w:start w:w="110" w:type="dxa"/>
              <w:bottom w:w="100" w:type="dxa"/>
              <w:end w:w="110" w:type="dxa"/>
            </w:tcMar>
            <w:vAlign w:val="center"/>
          </w:tcPr>
          <w:p>
            <w:pPr>
              <w:jc w:val="left"/>
            </w:pPr>
            <w:r>
              <w:rPr>
                <w:sz w:val="18"/>
              </w:rPr>
              <w:t>No</w:t>
            </w:r>
          </w:p>
        </w:tc>
      </w:tr>
      <w:tr>
        <w:tc>
          <w:tcPr>
            <w:tcW w:type="dxa" w:w="1656"/>
            <w:shd w:fill="F4F7FB"/>
            <w:tcMar>
              <w:top w:w="100" w:type="dxa"/>
              <w:start w:w="110" w:type="dxa"/>
              <w:bottom w:w="100" w:type="dxa"/>
              <w:end w:w="110" w:type="dxa"/>
            </w:tcMar>
            <w:vAlign w:val="center"/>
          </w:tcPr>
          <w:p>
            <w:pPr>
              <w:jc w:val="center"/>
            </w:pPr>
            <w:r>
              <w:rPr>
                <w:sz w:val="18"/>
              </w:rPr>
              <w:t>Received MP</w:t>
            </w:r>
          </w:p>
        </w:tc>
        <w:tc>
          <w:tcPr>
            <w:tcW w:type="dxa" w:w="6120"/>
            <w:shd w:fill="F4F7FB"/>
            <w:tcMar>
              <w:top w:w="100" w:type="dxa"/>
              <w:start w:w="110" w:type="dxa"/>
              <w:bottom w:w="100" w:type="dxa"/>
              <w:end w:w="110" w:type="dxa"/>
            </w:tcMar>
            <w:vAlign w:val="center"/>
          </w:tcPr>
          <w:p>
            <w:pPr>
              <w:jc w:val="left"/>
            </w:pPr>
            <w:r>
              <w:rPr>
                <w:sz w:val="18"/>
              </w:rPr>
              <w:t>Cumulative settled incoming MP; settled value also enters Available MP.</w:t>
            </w:r>
          </w:p>
        </w:tc>
        <w:tc>
          <w:tcPr>
            <w:tcW w:type="dxa" w:w="1584"/>
            <w:shd w:fill="F4F7FB"/>
            <w:tcMar>
              <w:top w:w="100" w:type="dxa"/>
              <w:start w:w="110" w:type="dxa"/>
              <w:bottom w:w="100" w:type="dxa"/>
              <w:end w:w="110" w:type="dxa"/>
            </w:tcMar>
            <w:vAlign w:val="center"/>
          </w:tcPr>
          <w:p>
            <w:pPr>
              <w:jc w:val="left"/>
            </w:pPr>
            <w:r>
              <w:rPr>
                <w:sz w:val="18"/>
              </w:rPr>
              <w:t>History total</w:t>
            </w:r>
          </w:p>
        </w:tc>
      </w:tr>
    </w:tbl>
    <w:p/>
    <w:p>
      <w:pPr>
        <w:pStyle w:val="Heading1"/>
      </w:pPr>
      <w:r>
        <w:t>Counter and online flows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656"/>
            <w:shd w:fill="273D86"/>
            <w:vAlign w:val="center"/>
            <w:tcMar>
              <w:top w:w="100" w:type="dxa"/>
              <w:start w:w="110" w:type="dxa"/>
              <w:bottom w:w="100" w:type="dxa"/>
              <w:end w:w="110" w:type="dxa"/>
            </w:tcMar>
          </w:tcPr>
          <w:p>
            <w:pPr>
              <w:jc w:val="center"/>
            </w:pPr>
            <w:r>
              <w:rPr>
                <w:b/>
                <w:color w:val="FFFFFF"/>
                <w:sz w:val="18"/>
              </w:rPr>
              <w:t>Flow</w:t>
            </w:r>
          </w:p>
        </w:tc>
        <w:tc>
          <w:tcPr>
            <w:tcW w:type="dxa" w:w="3456"/>
            <w:shd w:fill="273D86"/>
            <w:vAlign w:val="center"/>
            <w:tcMar>
              <w:top w:w="100" w:type="dxa"/>
              <w:start w:w="110" w:type="dxa"/>
              <w:bottom w:w="100" w:type="dxa"/>
              <w:end w:w="110" w:type="dxa"/>
            </w:tcMar>
          </w:tcPr>
          <w:p>
            <w:pPr>
              <w:jc w:val="center"/>
            </w:pPr>
            <w:r>
              <w:rPr>
                <w:b/>
                <w:color w:val="FFFFFF"/>
                <w:sz w:val="18"/>
              </w:rPr>
              <w:t>When value moves</w:t>
            </w:r>
          </w:p>
        </w:tc>
        <w:tc>
          <w:tcPr>
            <w:tcW w:type="dxa" w:w="4248"/>
            <w:shd w:fill="273D86"/>
            <w:vAlign w:val="center"/>
            <w:tcMar>
              <w:top w:w="100" w:type="dxa"/>
              <w:start w:w="110" w:type="dxa"/>
              <w:bottom w:w="100" w:type="dxa"/>
              <w:end w:w="110" w:type="dxa"/>
            </w:tcMar>
          </w:tcPr>
          <w:p>
            <w:pPr>
              <w:jc w:val="center"/>
            </w:pPr>
            <w:r>
              <w:rPr>
                <w:b/>
                <w:color w:val="FFFFFF"/>
                <w:sz w:val="18"/>
              </w:rPr>
              <w:t>Protection</w:t>
            </w:r>
          </w:p>
        </w:tc>
      </w:tr>
      <w:tr>
        <w:tc>
          <w:tcPr>
            <w:tcW w:type="dxa" w:w="1656"/>
            <w:tcMar>
              <w:top w:w="100" w:type="dxa"/>
              <w:start w:w="110" w:type="dxa"/>
              <w:bottom w:w="100" w:type="dxa"/>
              <w:end w:w="110" w:type="dxa"/>
            </w:tcMar>
            <w:vAlign w:val="center"/>
          </w:tcPr>
          <w:p>
            <w:pPr>
              <w:jc w:val="center"/>
            </w:pPr>
            <w:r>
              <w:rPr>
                <w:sz w:val="18"/>
              </w:rPr>
              <w:t>Counter QR</w:t>
            </w:r>
          </w:p>
        </w:tc>
        <w:tc>
          <w:tcPr>
            <w:tcW w:type="dxa" w:w="3456"/>
            <w:tcMar>
              <w:top w:w="100" w:type="dxa"/>
              <w:start w:w="110" w:type="dxa"/>
              <w:bottom w:w="100" w:type="dxa"/>
              <w:end w:w="110" w:type="dxa"/>
            </w:tcMar>
            <w:vAlign w:val="center"/>
          </w:tcPr>
          <w:p>
            <w:pPr>
              <w:jc w:val="left"/>
            </w:pPr>
            <w:r>
              <w:rPr>
                <w:sz w:val="18"/>
              </w:rPr>
              <w:t>Buyer confirms an exact, short-lived, one-time QR while receiving the product or service.</w:t>
            </w:r>
          </w:p>
        </w:tc>
        <w:tc>
          <w:tcPr>
            <w:tcW w:type="dxa" w:w="4248"/>
            <w:tcMar>
              <w:top w:w="100" w:type="dxa"/>
              <w:start w:w="110" w:type="dxa"/>
              <w:bottom w:w="100" w:type="dxa"/>
              <w:end w:w="110" w:type="dxa"/>
            </w:tcMar>
            <w:vAlign w:val="center"/>
          </w:tcPr>
          <w:p>
            <w:pPr>
              <w:jc w:val="left"/>
            </w:pPr>
            <w:r>
              <w:rPr>
                <w:sz w:val="18"/>
              </w:rPr>
              <w:t>Five-minute expiry, token hash, single use, atomic transfer and duplicate protection.</w:t>
            </w:r>
          </w:p>
        </w:tc>
      </w:tr>
      <w:tr>
        <w:tc>
          <w:tcPr>
            <w:tcW w:type="dxa" w:w="1656"/>
            <w:shd w:fill="F4F7FB"/>
            <w:tcMar>
              <w:top w:w="100" w:type="dxa"/>
              <w:start w:w="110" w:type="dxa"/>
              <w:bottom w:w="100" w:type="dxa"/>
              <w:end w:w="110" w:type="dxa"/>
            </w:tcMar>
            <w:vAlign w:val="center"/>
          </w:tcPr>
          <w:p>
            <w:pPr>
              <w:jc w:val="center"/>
            </w:pPr>
            <w:r>
              <w:rPr>
                <w:sz w:val="18"/>
              </w:rPr>
              <w:t>Online order</w:t>
            </w:r>
          </w:p>
        </w:tc>
        <w:tc>
          <w:tcPr>
            <w:tcW w:type="dxa" w:w="3456"/>
            <w:shd w:fill="F4F7FB"/>
            <w:tcMar>
              <w:top w:w="100" w:type="dxa"/>
              <w:start w:w="110" w:type="dxa"/>
              <w:bottom w:w="100" w:type="dxa"/>
              <w:end w:w="110" w:type="dxa"/>
            </w:tcMar>
            <w:vAlign w:val="center"/>
          </w:tcPr>
          <w:p>
            <w:pPr>
              <w:jc w:val="left"/>
            </w:pPr>
            <w:r>
              <w:rPr>
                <w:sz w:val="18"/>
              </w:rPr>
              <w:t>Available becomes Held for buyer and Pending for seller at checkout.</w:t>
            </w:r>
          </w:p>
        </w:tc>
        <w:tc>
          <w:tcPr>
            <w:tcW w:type="dxa" w:w="4248"/>
            <w:shd w:fill="F4F7FB"/>
            <w:tcMar>
              <w:top w:w="100" w:type="dxa"/>
              <w:start w:w="110" w:type="dxa"/>
              <w:bottom w:w="100" w:type="dxa"/>
              <w:end w:w="110" w:type="dxa"/>
            </w:tcMar>
            <w:vAlign w:val="center"/>
          </w:tcPr>
          <w:p>
            <w:pPr>
              <w:jc w:val="left"/>
            </w:pPr>
            <w:r>
              <w:rPr>
                <w:sz w:val="18"/>
              </w:rPr>
              <w:t>Server price, order locks, fulfilment timeline and immutable ledger.</w:t>
            </w:r>
          </w:p>
        </w:tc>
      </w:tr>
      <w:tr>
        <w:tc>
          <w:tcPr>
            <w:tcW w:type="dxa" w:w="1656"/>
            <w:tcMar>
              <w:top w:w="100" w:type="dxa"/>
              <w:start w:w="110" w:type="dxa"/>
              <w:bottom w:w="100" w:type="dxa"/>
              <w:end w:w="110" w:type="dxa"/>
            </w:tcMar>
            <w:vAlign w:val="center"/>
          </w:tcPr>
          <w:p>
            <w:pPr>
              <w:jc w:val="center"/>
            </w:pPr>
            <w:r>
              <w:rPr>
                <w:sz w:val="18"/>
              </w:rPr>
              <w:t>Settlement</w:t>
            </w:r>
          </w:p>
        </w:tc>
        <w:tc>
          <w:tcPr>
            <w:tcW w:type="dxa" w:w="3456"/>
            <w:tcMar>
              <w:top w:w="100" w:type="dxa"/>
              <w:start w:w="110" w:type="dxa"/>
              <w:bottom w:w="100" w:type="dxa"/>
              <w:end w:w="110" w:type="dxa"/>
            </w:tcMar>
            <w:vAlign w:val="center"/>
          </w:tcPr>
          <w:p>
            <w:pPr>
              <w:jc w:val="left"/>
            </w:pPr>
            <w:r>
              <w:rPr>
                <w:sz w:val="18"/>
              </w:rPr>
              <w:t>Buyer confirms receipt or the 48-hour period ends after courier status is Delivered.</w:t>
            </w:r>
          </w:p>
        </w:tc>
        <w:tc>
          <w:tcPr>
            <w:tcW w:type="dxa" w:w="4248"/>
            <w:tcMar>
              <w:top w:w="100" w:type="dxa"/>
              <w:start w:w="110" w:type="dxa"/>
              <w:bottom w:w="100" w:type="dxa"/>
              <w:end w:w="110" w:type="dxa"/>
            </w:tcMar>
            <w:vAlign w:val="center"/>
          </w:tcPr>
          <w:p>
            <w:pPr>
              <w:jc w:val="left"/>
            </w:pPr>
            <w:r>
              <w:rPr>
                <w:sz w:val="18"/>
              </w:rPr>
              <w:t>Issue or dispute pauses automatic release.</w:t>
            </w:r>
          </w:p>
        </w:tc>
      </w:tr>
      <w:tr>
        <w:tc>
          <w:tcPr>
            <w:tcW w:type="dxa" w:w="1656"/>
            <w:shd w:fill="F4F7FB"/>
            <w:tcMar>
              <w:top w:w="100" w:type="dxa"/>
              <w:start w:w="110" w:type="dxa"/>
              <w:bottom w:w="100" w:type="dxa"/>
              <w:end w:w="110" w:type="dxa"/>
            </w:tcMar>
            <w:vAlign w:val="center"/>
          </w:tcPr>
          <w:p>
            <w:pPr>
              <w:jc w:val="center"/>
            </w:pPr>
            <w:r>
              <w:rPr>
                <w:sz w:val="18"/>
              </w:rPr>
              <w:t>Refund</w:t>
            </w:r>
          </w:p>
        </w:tc>
        <w:tc>
          <w:tcPr>
            <w:tcW w:type="dxa" w:w="3456"/>
            <w:shd w:fill="F4F7FB"/>
            <w:tcMar>
              <w:top w:w="100" w:type="dxa"/>
              <w:start w:w="110" w:type="dxa"/>
              <w:bottom w:w="100" w:type="dxa"/>
              <w:end w:w="110" w:type="dxa"/>
            </w:tcMar>
            <w:vAlign w:val="center"/>
          </w:tcPr>
          <w:p>
            <w:pPr>
              <w:jc w:val="left"/>
            </w:pPr>
            <w:r>
              <w:rPr>
                <w:sz w:val="18"/>
              </w:rPr>
              <w:t>Held returns to buyer before settlement; approved reversal debits seller after settlement.</w:t>
            </w:r>
          </w:p>
        </w:tc>
        <w:tc>
          <w:tcPr>
            <w:tcW w:type="dxa" w:w="4248"/>
            <w:shd w:fill="F4F7FB"/>
            <w:tcMar>
              <w:top w:w="100" w:type="dxa"/>
              <w:start w:w="110" w:type="dxa"/>
              <w:bottom w:w="100" w:type="dxa"/>
              <w:end w:w="110" w:type="dxa"/>
            </w:tcMar>
            <w:vAlign w:val="center"/>
          </w:tcPr>
          <w:p>
            <w:pPr>
              <w:jc w:val="left"/>
            </w:pPr>
            <w:r>
              <w:rPr>
                <w:sz w:val="18"/>
              </w:rPr>
              <w:t>Atomic full/partial reversal and recorded reason.</w:t>
            </w:r>
          </w:p>
        </w:tc>
      </w:tr>
    </w:tbl>
    <w:p/>
    <w:p>
      <w:r>
        <w:br w:type="page"/>
      </w:r>
    </w:p>
    <w:p>
      <w:pPr>
        <w:pStyle w:val="Heading1"/>
      </w:pPr>
      <w:r>
        <w:t>Merchant categories and public discovery</w:t>
      </w:r>
    </w:p>
    <w:p>
      <w:r>
        <w:t>Every new merchant chooses one primary category and may choose up to two secondary categories. The merchant may submit an offer only under a category approved by BManagement.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800"/>
            <w:shd w:fill="273D86"/>
            <w:vAlign w:val="center"/>
            <w:tcMar>
              <w:top w:w="100" w:type="dxa"/>
              <w:start w:w="110" w:type="dxa"/>
              <w:bottom w:w="100" w:type="dxa"/>
              <w:end w:w="110" w:type="dxa"/>
            </w:tcMar>
          </w:tcPr>
          <w:p>
            <w:pPr>
              <w:jc w:val="center"/>
            </w:pPr>
            <w:r>
              <w:rPr>
                <w:b/>
                <w:color w:val="FFFFFF"/>
                <w:sz w:val="18"/>
              </w:rPr>
              <w:t>Stage</w:t>
            </w:r>
          </w:p>
        </w:tc>
        <w:tc>
          <w:tcPr>
            <w:tcW w:type="dxa" w:w="2088"/>
            <w:shd w:fill="273D86"/>
            <w:vAlign w:val="center"/>
            <w:tcMar>
              <w:top w:w="100" w:type="dxa"/>
              <w:start w:w="110" w:type="dxa"/>
              <w:bottom w:w="100" w:type="dxa"/>
              <w:end w:w="110" w:type="dxa"/>
            </w:tcMar>
          </w:tcPr>
          <w:p>
            <w:pPr>
              <w:jc w:val="center"/>
            </w:pPr>
            <w:r>
              <w:rPr>
                <w:b/>
                <w:color w:val="FFFFFF"/>
                <w:sz w:val="18"/>
              </w:rPr>
              <w:t>Who acts</w:t>
            </w:r>
          </w:p>
        </w:tc>
        <w:tc>
          <w:tcPr>
            <w:tcW w:type="dxa" w:w="5472"/>
            <w:shd w:fill="273D86"/>
            <w:vAlign w:val="center"/>
            <w:tcMar>
              <w:top w:w="100" w:type="dxa"/>
              <w:start w:w="110" w:type="dxa"/>
              <w:bottom w:w="100" w:type="dxa"/>
              <w:end w:w="110" w:type="dxa"/>
            </w:tcMar>
          </w:tcPr>
          <w:p>
            <w:pPr>
              <w:jc w:val="center"/>
            </w:pPr>
            <w:r>
              <w:rPr>
                <w:b/>
                <w:color w:val="FFFFFF"/>
                <w:sz w:val="18"/>
              </w:rPr>
              <w:t>Result</w:t>
            </w:r>
          </w:p>
        </w:tc>
      </w:tr>
      <w:tr>
        <w:tc>
          <w:tcPr>
            <w:tcW w:type="dxa" w:w="1800"/>
            <w:tcMar>
              <w:top w:w="100" w:type="dxa"/>
              <w:start w:w="110" w:type="dxa"/>
              <w:bottom w:w="100" w:type="dxa"/>
              <w:end w:w="110" w:type="dxa"/>
            </w:tcMar>
            <w:vAlign w:val="center"/>
          </w:tcPr>
          <w:p>
            <w:pPr>
              <w:jc w:val="center"/>
            </w:pPr>
            <w:r>
              <w:rPr>
                <w:sz w:val="18"/>
              </w:rPr>
              <w:t>Application</w:t>
            </w:r>
          </w:p>
        </w:tc>
        <w:tc>
          <w:tcPr>
            <w:tcW w:type="dxa" w:w="2088"/>
            <w:tcMar>
              <w:top w:w="100" w:type="dxa"/>
              <w:start w:w="110" w:type="dxa"/>
              <w:bottom w:w="100" w:type="dxa"/>
              <w:end w:w="110" w:type="dxa"/>
            </w:tcMar>
            <w:vAlign w:val="center"/>
          </w:tcPr>
          <w:p>
            <w:pPr>
              <w:jc w:val="left"/>
            </w:pPr>
            <w:r>
              <w:rPr>
                <w:sz w:val="18"/>
              </w:rPr>
              <w:t>Merchant</w:t>
            </w:r>
          </w:p>
        </w:tc>
        <w:tc>
          <w:tcPr>
            <w:tcW w:type="dxa" w:w="5472"/>
            <w:tcMar>
              <w:top w:w="100" w:type="dxa"/>
              <w:start w:w="110" w:type="dxa"/>
              <w:bottom w:w="100" w:type="dxa"/>
              <w:end w:w="110" w:type="dxa"/>
            </w:tcMar>
            <w:vAlign w:val="center"/>
          </w:tcPr>
          <w:p>
            <w:pPr>
              <w:jc w:val="left"/>
            </w:pPr>
            <w:r>
              <w:rPr>
                <w:sz w:val="18"/>
              </w:rPr>
              <w:t>Chooses primary and optional secondary categories.</w:t>
            </w:r>
          </w:p>
        </w:tc>
      </w:tr>
      <w:tr>
        <w:tc>
          <w:tcPr>
            <w:tcW w:type="dxa" w:w="1800"/>
            <w:shd w:fill="F4F7FB"/>
            <w:tcMar>
              <w:top w:w="100" w:type="dxa"/>
              <w:start w:w="110" w:type="dxa"/>
              <w:bottom w:w="100" w:type="dxa"/>
              <w:end w:w="110" w:type="dxa"/>
            </w:tcMar>
            <w:vAlign w:val="center"/>
          </w:tcPr>
          <w:p>
            <w:pPr>
              <w:jc w:val="center"/>
            </w:pPr>
            <w:r>
              <w:rPr>
                <w:sz w:val="18"/>
              </w:rPr>
              <w:t>Category review</w:t>
            </w:r>
          </w:p>
        </w:tc>
        <w:tc>
          <w:tcPr>
            <w:tcW w:type="dxa" w:w="2088"/>
            <w:shd w:fill="F4F7FB"/>
            <w:tcMar>
              <w:top w:w="100" w:type="dxa"/>
              <w:start w:w="110" w:type="dxa"/>
              <w:bottom w:w="100" w:type="dxa"/>
              <w:end w:w="110" w:type="dxa"/>
            </w:tcMar>
            <w:vAlign w:val="center"/>
          </w:tcPr>
          <w:p>
            <w:pPr>
              <w:jc w:val="left"/>
            </w:pPr>
            <w:r>
              <w:rPr>
                <w:sz w:val="18"/>
              </w:rPr>
              <w:t>BManagement</w:t>
            </w:r>
          </w:p>
        </w:tc>
        <w:tc>
          <w:tcPr>
            <w:tcW w:type="dxa" w:w="5472"/>
            <w:shd w:fill="F4F7FB"/>
            <w:tcMar>
              <w:top w:w="100" w:type="dxa"/>
              <w:start w:w="110" w:type="dxa"/>
              <w:bottom w:w="100" w:type="dxa"/>
              <w:end w:w="110" w:type="dxa"/>
            </w:tcMar>
            <w:vAlign w:val="center"/>
          </w:tcPr>
          <w:p>
            <w:pPr>
              <w:jc w:val="left"/>
            </w:pPr>
            <w:r>
              <w:rPr>
                <w:sz w:val="18"/>
              </w:rPr>
              <w:t>Approves, rejects or corrects the selection and primary status.</w:t>
            </w:r>
          </w:p>
        </w:tc>
      </w:tr>
      <w:tr>
        <w:tc>
          <w:tcPr>
            <w:tcW w:type="dxa" w:w="1800"/>
            <w:tcMar>
              <w:top w:w="100" w:type="dxa"/>
              <w:start w:w="110" w:type="dxa"/>
              <w:bottom w:w="100" w:type="dxa"/>
              <w:end w:w="110" w:type="dxa"/>
            </w:tcMar>
            <w:vAlign w:val="center"/>
          </w:tcPr>
          <w:p>
            <w:pPr>
              <w:jc w:val="center"/>
            </w:pPr>
            <w:r>
              <w:rPr>
                <w:sz w:val="18"/>
              </w:rPr>
              <w:t>Offer submission</w:t>
            </w:r>
          </w:p>
        </w:tc>
        <w:tc>
          <w:tcPr>
            <w:tcW w:type="dxa" w:w="2088"/>
            <w:tcMar>
              <w:top w:w="100" w:type="dxa"/>
              <w:start w:w="110" w:type="dxa"/>
              <w:bottom w:w="100" w:type="dxa"/>
              <w:end w:w="110" w:type="dxa"/>
            </w:tcMar>
            <w:vAlign w:val="center"/>
          </w:tcPr>
          <w:p>
            <w:pPr>
              <w:jc w:val="left"/>
            </w:pPr>
            <w:r>
              <w:rPr>
                <w:sz w:val="18"/>
              </w:rPr>
              <w:t>Merchant</w:t>
            </w:r>
          </w:p>
        </w:tc>
        <w:tc>
          <w:tcPr>
            <w:tcW w:type="dxa" w:w="5472"/>
            <w:tcMar>
              <w:top w:w="100" w:type="dxa"/>
              <w:start w:w="110" w:type="dxa"/>
              <w:bottom w:w="100" w:type="dxa"/>
              <w:end w:w="110" w:type="dxa"/>
            </w:tcMar>
            <w:vAlign w:val="center"/>
          </w:tcPr>
          <w:p>
            <w:pPr>
              <w:jc w:val="left"/>
            </w:pPr>
            <w:r>
              <w:rPr>
                <w:sz w:val="18"/>
              </w:rPr>
              <w:t>Uses an approved category and submits images, description and pricing.</w:t>
            </w:r>
          </w:p>
        </w:tc>
      </w:tr>
      <w:tr>
        <w:tc>
          <w:tcPr>
            <w:tcW w:type="dxa" w:w="1800"/>
            <w:shd w:fill="F4F7FB"/>
            <w:tcMar>
              <w:top w:w="100" w:type="dxa"/>
              <w:start w:w="110" w:type="dxa"/>
              <w:bottom w:w="100" w:type="dxa"/>
              <w:end w:w="110" w:type="dxa"/>
            </w:tcMar>
            <w:vAlign w:val="center"/>
          </w:tcPr>
          <w:p>
            <w:pPr>
              <w:jc w:val="center"/>
            </w:pPr>
            <w:r>
              <w:rPr>
                <w:sz w:val="18"/>
              </w:rPr>
              <w:t>Offer review</w:t>
            </w:r>
          </w:p>
        </w:tc>
        <w:tc>
          <w:tcPr>
            <w:tcW w:type="dxa" w:w="2088"/>
            <w:shd w:fill="F4F7FB"/>
            <w:tcMar>
              <w:top w:w="100" w:type="dxa"/>
              <w:start w:w="110" w:type="dxa"/>
              <w:bottom w:w="100" w:type="dxa"/>
              <w:end w:w="110" w:type="dxa"/>
            </w:tcMar>
            <w:vAlign w:val="center"/>
          </w:tcPr>
          <w:p>
            <w:pPr>
              <w:jc w:val="left"/>
            </w:pPr>
            <w:r>
              <w:rPr>
                <w:sz w:val="18"/>
              </w:rPr>
              <w:t>BManagement</w:t>
            </w:r>
          </w:p>
        </w:tc>
        <w:tc>
          <w:tcPr>
            <w:tcW w:type="dxa" w:w="5472"/>
            <w:shd w:fill="F4F7FB"/>
            <w:tcMar>
              <w:top w:w="100" w:type="dxa"/>
              <w:start w:w="110" w:type="dxa"/>
              <w:bottom w:w="100" w:type="dxa"/>
              <w:end w:w="110" w:type="dxa"/>
            </w:tcMar>
            <w:vAlign w:val="center"/>
          </w:tcPr>
          <w:p>
            <w:pPr>
              <w:jc w:val="left"/>
            </w:pPr>
            <w:r>
              <w:rPr>
                <w:sz w:val="18"/>
              </w:rPr>
              <w:t>Corrects category, approves, requests changes or rejects with notes.</w:t>
            </w:r>
          </w:p>
        </w:tc>
      </w:tr>
      <w:tr>
        <w:tc>
          <w:tcPr>
            <w:tcW w:type="dxa" w:w="1800"/>
            <w:tcMar>
              <w:top w:w="100" w:type="dxa"/>
              <w:start w:w="110" w:type="dxa"/>
              <w:bottom w:w="100" w:type="dxa"/>
              <w:end w:w="110" w:type="dxa"/>
            </w:tcMar>
            <w:vAlign w:val="center"/>
          </w:tcPr>
          <w:p>
            <w:pPr>
              <w:jc w:val="center"/>
            </w:pPr>
            <w:r>
              <w:rPr>
                <w:sz w:val="18"/>
              </w:rPr>
              <w:t>Public discovery</w:t>
            </w:r>
          </w:p>
        </w:tc>
        <w:tc>
          <w:tcPr>
            <w:tcW w:type="dxa" w:w="2088"/>
            <w:tcMar>
              <w:top w:w="100" w:type="dxa"/>
              <w:start w:w="110" w:type="dxa"/>
              <w:bottom w:w="100" w:type="dxa"/>
              <w:end w:w="110" w:type="dxa"/>
            </w:tcMar>
            <w:vAlign w:val="center"/>
          </w:tcPr>
          <w:p>
            <w:pPr>
              <w:jc w:val="left"/>
            </w:pPr>
            <w:r>
              <w:rPr>
                <w:sz w:val="18"/>
              </w:rPr>
              <w:t>System</w:t>
            </w:r>
          </w:p>
        </w:tc>
        <w:tc>
          <w:tcPr>
            <w:tcW w:type="dxa" w:w="5472"/>
            <w:tcMar>
              <w:top w:w="100" w:type="dxa"/>
              <w:start w:w="110" w:type="dxa"/>
              <w:bottom w:w="100" w:type="dxa"/>
              <w:end w:w="110" w:type="dxa"/>
            </w:tcMar>
            <w:vAlign w:val="center"/>
          </w:tcPr>
          <w:p>
            <w:pPr>
              <w:jc w:val="left"/>
            </w:pPr>
            <w:r>
              <w:rPr>
                <w:sz w:val="18"/>
              </w:rPr>
              <w:t>Shows only active, paid, approved merchants in enabled non-empty categories.</w:t>
            </w:r>
          </w:p>
        </w:tc>
      </w:tr>
    </w:tbl>
    <w:p/>
    <w:p>
      <w:r>
        <w:t>Discover BBX Merchants supports search, category filters, online and MP offer filters, member-interest matching and scheduled BManagement campaigns. A campaign may change ordering but never bypass approval rules.</w:t>
      </w:r>
    </w:p>
    <w:p>
      <w:pPr>
        <w:pStyle w:val="Heading1"/>
      </w:pPr>
      <w:r>
        <w:t>Merchant qualification questions</w:t>
      </w:r>
    </w:p>
    <w:p>
      <w:pPr>
        <w:pStyle w:val="ListBullet"/>
      </w:pPr>
      <w:r>
        <w:t>Which normal business expense could be partly met through merchant exchange?</w:t>
      </w:r>
    </w:p>
    <w:p>
      <w:pPr>
        <w:pStyle w:val="ListBullet"/>
      </w:pPr>
      <w:r>
        <w:t>Which product or service can you fulfil consistently for other merchants?</w:t>
      </w:r>
    </w:p>
    <w:p>
      <w:pPr>
        <w:pStyle w:val="ListBullet"/>
      </w:pPr>
      <w:r>
        <w:t>What category best represents the business, and which two secondary categories are genuinely relevant?</w:t>
      </w:r>
    </w:p>
    <w:p>
      <w:pPr>
        <w:pStyle w:val="ListBullet"/>
      </w:pPr>
      <w:r>
        <w:t>What are the retail, member, IFC and proposed BBA or MP prices?</w:t>
      </w:r>
    </w:p>
    <w:p>
      <w:pPr>
        <w:pStyle w:val="ListBullet"/>
      </w:pPr>
      <w:r>
        <w:t>What are the capacity, lead time, service area, appointment and return conditions?</w:t>
      </w:r>
    </w:p>
    <w:p>
      <w:pPr>
        <w:pStyle w:val="ListBullet"/>
      </w:pPr>
      <w:r>
        <w:t>Who will monitor orders, courier updates and disputes?</w:t>
      </w:r>
    </w:p>
    <w:p>
      <w:pPr>
        <w:pStyle w:val="Heading1"/>
      </w:pPr>
      <w:r>
        <w:t>How to demonstrate the system</w:t>
      </w:r>
    </w:p>
    <w:p>
      <w:pPr>
        <w:pStyle w:val="ListNumber"/>
      </w:pPr>
      <w:r>
        <w:t>Show Available, Held, Pending and Received balances and ask the merchant to explain them back.</w:t>
      </w:r>
    </w:p>
    <w:p>
      <w:pPr>
        <w:pStyle w:val="ListNumber"/>
      </w:pPr>
      <w:r>
        <w:t>Show the five-minute one-time QR flow without moving real MP while the launch gate is locked.</w:t>
      </w:r>
    </w:p>
    <w:p>
      <w:pPr>
        <w:pStyle w:val="ListNumber"/>
      </w:pPr>
      <w:r>
        <w:t>Show online checkout, fulfilment, tracking, receipt confirmation and issue reporting.</w:t>
      </w:r>
    </w:p>
    <w:p>
      <w:pPr>
        <w:pStyle w:val="ListNumber"/>
      </w:pPr>
      <w:r>
        <w:t>Open Merchant Studio and demonstrate category-limited offer submission.</w:t>
      </w:r>
    </w:p>
    <w:p>
      <w:pPr>
        <w:pStyle w:val="ListNumber"/>
      </w:pPr>
      <w:r>
        <w:t>Open Discover BBX Merchants and show enabled categories, search, offers and interest matching.</w:t>
      </w:r>
    </w:p>
    <w:p>
      <w:pPr>
        <w:pStyle w:val="ListNumber"/>
      </w:pPr>
      <w:r>
        <w:t>Explain that only BManagement can approve categories, offers, refunds and disputes.</w:t>
      </w:r>
    </w:p>
    <w:p>
      <w:pPr>
        <w:pStyle w:val="Heading1"/>
      </w:pPr>
      <w:r>
        <w:t>Common questions and accurate answers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rPr>
          <w:tblHeader w:val="true"/>
        </w:trPr>
        <w:tc>
          <w:tcPr>
            <w:tcW w:type="dxa" w:w="3240"/>
            <w:shd w:fill="273D86"/>
            <w:vAlign w:val="center"/>
            <w:tcMar>
              <w:top w:w="100" w:type="dxa"/>
              <w:start w:w="110" w:type="dxa"/>
              <w:bottom w:w="100" w:type="dxa"/>
              <w:end w:w="110" w:type="dxa"/>
            </w:tcMar>
          </w:tcPr>
          <w:p>
            <w:pPr>
              <w:jc w:val="center"/>
            </w:pPr>
            <w:r>
              <w:rPr>
                <w:b/>
                <w:color w:val="FFFFFF"/>
                <w:sz w:val="18"/>
              </w:rPr>
              <w:t>Question</w:t>
            </w:r>
          </w:p>
        </w:tc>
        <w:tc>
          <w:tcPr>
            <w:tcW w:type="dxa" w:w="6264"/>
            <w:shd w:fill="273D86"/>
            <w:vAlign w:val="center"/>
            <w:tcMar>
              <w:top w:w="100" w:type="dxa"/>
              <w:start w:w="110" w:type="dxa"/>
              <w:bottom w:w="100" w:type="dxa"/>
              <w:end w:w="110" w:type="dxa"/>
            </w:tcMar>
          </w:tcPr>
          <w:p>
            <w:pPr>
              <w:jc w:val="center"/>
            </w:pPr>
            <w:r>
              <w:rPr>
                <w:b/>
                <w:color w:val="FFFFFF"/>
                <w:sz w:val="18"/>
              </w:rPr>
              <w:t>Accurate answer</w:t>
            </w:r>
          </w:p>
        </w:tc>
      </w:tr>
      <w:tr>
        <w:tc>
          <w:tcPr>
            <w:tcW w:type="dxa" w:w="3240"/>
            <w:tcMar>
              <w:top w:w="100" w:type="dxa"/>
              <w:start w:w="110" w:type="dxa"/>
              <w:bottom w:w="100" w:type="dxa"/>
              <w:end w:w="110" w:type="dxa"/>
            </w:tcMar>
            <w:vAlign w:val="center"/>
          </w:tcPr>
          <w:p>
            <w:pPr>
              <w:jc w:val="center"/>
            </w:pPr>
            <w:r>
              <w:rPr>
                <w:sz w:val="18"/>
              </w:rPr>
              <w:t>Can I cash out MP?</w:t>
            </w:r>
          </w:p>
        </w:tc>
        <w:tc>
          <w:tcPr>
            <w:tcW w:type="dxa" w:w="6264"/>
            <w:tcMar>
              <w:top w:w="100" w:type="dxa"/>
              <w:start w:w="110" w:type="dxa"/>
              <w:bottom w:w="100" w:type="dxa"/>
              <w:end w:w="110" w:type="dxa"/>
            </w:tcMar>
            <w:vAlign w:val="center"/>
          </w:tcPr>
          <w:p>
            <w:pPr>
              <w:jc w:val="left"/>
            </w:pPr>
            <w:r>
              <w:rPr>
                <w:sz w:val="18"/>
              </w:rPr>
              <w:t>No cash-out feature is approved or promised. MP is closed-loop merchant value.</w:t>
            </w:r>
          </w:p>
        </w:tc>
      </w:tr>
      <w:tr>
        <w:tc>
          <w:tcPr>
            <w:tcW w:type="dxa" w:w="3240"/>
            <w:shd w:fill="F4F7FB"/>
            <w:tcMar>
              <w:top w:w="100" w:type="dxa"/>
              <w:start w:w="110" w:type="dxa"/>
              <w:bottom w:w="100" w:type="dxa"/>
              <w:end w:w="110" w:type="dxa"/>
            </w:tcMar>
            <w:vAlign w:val="center"/>
          </w:tcPr>
          <w:p>
            <w:pPr>
              <w:jc w:val="center"/>
            </w:pPr>
            <w:r>
              <w:rPr>
                <w:sz w:val="18"/>
              </w:rPr>
              <w:t>Is MP live now?</w:t>
            </w:r>
          </w:p>
        </w:tc>
        <w:tc>
          <w:tcPr>
            <w:tcW w:type="dxa" w:w="6264"/>
            <w:shd w:fill="F4F7FB"/>
            <w:tcMar>
              <w:top w:w="100" w:type="dxa"/>
              <w:start w:w="110" w:type="dxa"/>
              <w:bottom w:w="100" w:type="dxa"/>
              <w:end w:w="110" w:type="dxa"/>
            </w:tcMar>
            <w:vAlign w:val="center"/>
          </w:tcPr>
          <w:p>
            <w:pPr>
              <w:jc w:val="left"/>
            </w:pPr>
            <w:r>
              <w:rPr>
                <w:sz w:val="18"/>
              </w:rPr>
              <w:t>Real movement is locked pending security approval and two-merchant UAT.</w:t>
            </w:r>
          </w:p>
        </w:tc>
      </w:tr>
      <w:tr>
        <w:tc>
          <w:tcPr>
            <w:tcW w:type="dxa" w:w="3240"/>
            <w:tcMar>
              <w:top w:w="100" w:type="dxa"/>
              <w:start w:w="110" w:type="dxa"/>
              <w:bottom w:w="100" w:type="dxa"/>
              <w:end w:w="110" w:type="dxa"/>
            </w:tcMar>
            <w:vAlign w:val="center"/>
          </w:tcPr>
          <w:p>
            <w:pPr>
              <w:jc w:val="center"/>
            </w:pPr>
            <w:r>
              <w:rPr>
                <w:sz w:val="18"/>
              </w:rPr>
              <w:t>Why is my category not visible?</w:t>
            </w:r>
          </w:p>
        </w:tc>
        <w:tc>
          <w:tcPr>
            <w:tcW w:type="dxa" w:w="6264"/>
            <w:tcMar>
              <w:top w:w="100" w:type="dxa"/>
              <w:start w:w="110" w:type="dxa"/>
              <w:bottom w:w="100" w:type="dxa"/>
              <w:end w:w="110" w:type="dxa"/>
            </w:tcMar>
            <w:vAlign w:val="center"/>
          </w:tcPr>
          <w:p>
            <w:pPr>
              <w:jc w:val="left"/>
            </w:pPr>
            <w:r>
              <w:rPr>
                <w:sz w:val="18"/>
              </w:rPr>
              <w:t>It must be enabled by BManagement and contain an active approved merchant.</w:t>
            </w:r>
          </w:p>
        </w:tc>
      </w:tr>
      <w:tr>
        <w:tc>
          <w:tcPr>
            <w:tcW w:type="dxa" w:w="3240"/>
            <w:shd w:fill="F4F7FB"/>
            <w:tcMar>
              <w:top w:w="100" w:type="dxa"/>
              <w:start w:w="110" w:type="dxa"/>
              <w:bottom w:w="100" w:type="dxa"/>
              <w:end w:w="110" w:type="dxa"/>
            </w:tcMar>
            <w:vAlign w:val="center"/>
          </w:tcPr>
          <w:p>
            <w:pPr>
              <w:jc w:val="center"/>
            </w:pPr>
            <w:r>
              <w:rPr>
                <w:sz w:val="18"/>
              </w:rPr>
              <w:t>Can I list under any category?</w:t>
            </w:r>
          </w:p>
        </w:tc>
        <w:tc>
          <w:tcPr>
            <w:tcW w:type="dxa" w:w="6264"/>
            <w:shd w:fill="F4F7FB"/>
            <w:tcMar>
              <w:top w:w="100" w:type="dxa"/>
              <w:start w:w="110" w:type="dxa"/>
              <w:bottom w:w="100" w:type="dxa"/>
              <w:end w:w="110" w:type="dxa"/>
            </w:tcMar>
            <w:vAlign w:val="center"/>
          </w:tcPr>
          <w:p>
            <w:pPr>
              <w:jc w:val="left"/>
            </w:pPr>
            <w:r>
              <w:rPr>
                <w:sz w:val="18"/>
              </w:rPr>
              <w:t>No. An offer must use one of the merchant’s approved categories.</w:t>
            </w:r>
          </w:p>
        </w:tc>
      </w:tr>
      <w:tr>
        <w:tc>
          <w:tcPr>
            <w:tcW w:type="dxa" w:w="3240"/>
            <w:tcMar>
              <w:top w:w="100" w:type="dxa"/>
              <w:start w:w="110" w:type="dxa"/>
              <w:bottom w:w="100" w:type="dxa"/>
              <w:end w:w="110" w:type="dxa"/>
            </w:tcMar>
            <w:vAlign w:val="center"/>
          </w:tcPr>
          <w:p>
            <w:pPr>
              <w:jc w:val="center"/>
            </w:pPr>
            <w:r>
              <w:rPr>
                <w:sz w:val="18"/>
              </w:rPr>
              <w:t>When does a seller receive online MP?</w:t>
            </w:r>
          </w:p>
        </w:tc>
        <w:tc>
          <w:tcPr>
            <w:tcW w:type="dxa" w:w="6264"/>
            <w:tcMar>
              <w:top w:w="100" w:type="dxa"/>
              <w:start w:w="110" w:type="dxa"/>
              <w:bottom w:w="100" w:type="dxa"/>
              <w:end w:w="110" w:type="dxa"/>
            </w:tcMar>
            <w:vAlign w:val="center"/>
          </w:tcPr>
          <w:p>
            <w:pPr>
              <w:jc w:val="left"/>
            </w:pPr>
            <w:r>
              <w:rPr>
                <w:sz w:val="18"/>
              </w:rPr>
              <w:t>After buyer confirmation or eligible 48-hour release following Delivered status.</w:t>
            </w:r>
          </w:p>
        </w:tc>
      </w:tr>
      <w:tr>
        <w:tc>
          <w:tcPr>
            <w:tcW w:type="dxa" w:w="3240"/>
            <w:shd w:fill="F4F7FB"/>
            <w:tcMar>
              <w:top w:w="100" w:type="dxa"/>
              <w:start w:w="110" w:type="dxa"/>
              <w:bottom w:w="100" w:type="dxa"/>
              <w:end w:w="110" w:type="dxa"/>
            </w:tcMar>
            <w:vAlign w:val="center"/>
          </w:tcPr>
          <w:p>
            <w:pPr>
              <w:jc w:val="center"/>
            </w:pPr>
            <w:r>
              <w:rPr>
                <w:sz w:val="18"/>
              </w:rPr>
              <w:t>Who decides disputes?</w:t>
            </w:r>
          </w:p>
        </w:tc>
        <w:tc>
          <w:tcPr>
            <w:tcW w:type="dxa" w:w="6264"/>
            <w:shd w:fill="F4F7FB"/>
            <w:tcMar>
              <w:top w:w="100" w:type="dxa"/>
              <w:start w:w="110" w:type="dxa"/>
              <w:bottom w:w="100" w:type="dxa"/>
              <w:end w:w="110" w:type="dxa"/>
            </w:tcMar>
            <w:vAlign w:val="center"/>
          </w:tcPr>
          <w:p>
            <w:pPr>
              <w:jc w:val="left"/>
            </w:pPr>
            <w:r>
              <w:rPr>
                <w:sz w:val="18"/>
              </w:rPr>
              <w:t>BManagement reviews evidence and records the resolution.</w:t>
            </w:r>
          </w:p>
        </w:tc>
      </w:tr>
    </w:tbl>
    <w:p/>
    <w:p>
      <w:pPr>
        <w:pStyle w:val="Heading1"/>
      </w:pPr>
      <w:r>
        <w:t>Statements an IFC must never make</w:t>
      </w:r>
    </w:p>
    <w:p>
      <w:pPr>
        <w:pStyle w:val="ListBullet"/>
      </w:pPr>
      <w:r>
        <w:t>MP is the same as cash.</w:t>
      </w:r>
    </w:p>
    <w:p>
      <w:pPr>
        <w:pStyle w:val="ListBullet"/>
      </w:pPr>
      <w:r>
        <w:t>You can definitely cash out later.</w:t>
      </w:r>
    </w:p>
    <w:p>
      <w:pPr>
        <w:pStyle w:val="ListBullet"/>
      </w:pPr>
      <w:r>
        <w:t>Your sales, savings or profits are guaranteed.</w:t>
      </w:r>
    </w:p>
    <w:p>
      <w:pPr>
        <w:pStyle w:val="ListBullet"/>
      </w:pPr>
      <w:r>
        <w:t>The system is already open for real MP balances.</w:t>
      </w:r>
    </w:p>
    <w:p>
      <w:pPr>
        <w:pStyle w:val="ListBullet"/>
      </w:pPr>
      <w:r>
        <w:t>A screenshot proves payment.</w:t>
      </w:r>
    </w:p>
    <w:p>
      <w:pPr>
        <w:pStyle w:val="ListBullet"/>
      </w:pPr>
      <w:r>
        <w:t>Every category or offer will be approved.</w:t>
      </w:r>
    </w:p>
    <w:p>
      <w:pPr>
        <w:pStyle w:val="ListBullet"/>
      </w:pPr>
      <w:r>
        <w:t>BBX will approve every refund.</w:t>
      </w:r>
    </w:p>
    <w:p>
      <w:pPr>
        <w:pStyle w:val="Heading1"/>
      </w:pPr>
      <w:r>
        <w:t>First merchant onboarding checklist</w:t>
      </w:r>
    </w:p>
    <w:p>
      <w:pPr>
        <w:pStyle w:val="ListBullet"/>
      </w:pPr>
      <w:r>
        <w:t>[ ] Identity, company details and registered email checked</w:t>
      </w:r>
    </w:p>
    <w:p>
      <w:pPr>
        <w:pStyle w:val="ListBullet"/>
      </w:pPr>
      <w:r>
        <w:t>[ ] Payment review explained</w:t>
      </w:r>
    </w:p>
    <w:p>
      <w:pPr>
        <w:pStyle w:val="ListBullet"/>
      </w:pPr>
      <w:r>
        <w:t>[ ] Primary and secondary categories chosen accurately</w:t>
      </w:r>
    </w:p>
    <w:p>
      <w:pPr>
        <w:pStyle w:val="ListBullet"/>
      </w:pPr>
      <w:r>
        <w:t>[ ] Offer and four pricing tiers prepared</w:t>
      </w:r>
    </w:p>
    <w:p>
      <w:pPr>
        <w:pStyle w:val="ListBullet"/>
      </w:pPr>
      <w:r>
        <w:t>[ ] MP status and launch lock explained</w:t>
      </w:r>
    </w:p>
    <w:p>
      <w:pPr>
        <w:pStyle w:val="ListBullet"/>
      </w:pPr>
      <w:r>
        <w:t>[ ] QR and online flows demonstrated</w:t>
      </w:r>
    </w:p>
    <w:p>
      <w:pPr>
        <w:pStyle w:val="ListBullet"/>
      </w:pPr>
      <w:r>
        <w:t>[ ] Refund and dispute route shown</w:t>
      </w:r>
    </w:p>
    <w:p>
      <w:pPr>
        <w:pStyle w:val="ListBullet"/>
      </w:pPr>
      <w:r>
        <w:t>[ ] Follow-up recorded in CRM</w:t>
      </w:r>
    </w:p>
    <w:p>
      <w:pPr>
        <w:pStyle w:val="Heading1"/>
      </w:pPr>
      <w:r>
        <w:t>Escalate to BManagement when</w:t>
      </w:r>
    </w:p>
    <w:p>
      <w:r>
        <w:t>Escalate payment evidence, category corrections, prohibited claims, suspicious login or QR behaviour, disputes, refunds, wallet freezes, manual adjustments and any request to activate real MP. IFCs must not improvise administrative decisions.</w:t>
      </w:r>
    </w:p>
    <w:sectPr w:rsidR="00FC693F" w:rsidRPr="0006063C" w:rsidSect="00034616">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748B"/>
        <w:sz w:val="16"/>
      </w:rPr>
      <w:t>BuddyBBX  |  Internal operating guide  |  Updated 21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6354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320"/>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BuddyBBX MP IFC Training Playbook v2</dc:title>
  <dc:subject>BuddyBBX Merchant Points operations and training</dc:subject>
  <dc:creator>BuddyBBX</dc:creator>
  <cp:keywords/>
  <dc:description>generated by python-docx</dc:description>
  <cp:lastModifiedBy/>
  <cp:revision>1</cp:revision>
  <dcterms:created xsi:type="dcterms:W3CDTF">2013-12-23T23:15:00Z</dcterms:created>
  <dcterms:modified xsi:type="dcterms:W3CDTF">2013-12-23T23:15:00Z</dcterms:modified>
  <cp:category/>
</cp:coreProperties>
</file>